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19" w:rsidRDefault="00B21719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16.05.2020</w:t>
      </w: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Дисциплина    </w:t>
      </w:r>
      <w:r>
        <w:rPr>
          <w:rFonts w:ascii="PT Astra Serif" w:hAnsi="PT Astra Serif"/>
          <w:sz w:val="24"/>
          <w:szCs w:val="24"/>
          <w:u w:val="single"/>
        </w:rPr>
        <w:t xml:space="preserve">Статистика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Преподаватель     </w:t>
      </w:r>
      <w:proofErr w:type="spellStart"/>
      <w:r>
        <w:rPr>
          <w:rFonts w:ascii="PT Astra Serif" w:hAnsi="PT Astra Serif"/>
          <w:sz w:val="24"/>
          <w:szCs w:val="24"/>
          <w:u w:val="single"/>
        </w:rPr>
        <w:t>Махмутова</w:t>
      </w:r>
      <w:proofErr w:type="spellEnd"/>
      <w:r>
        <w:rPr>
          <w:rFonts w:ascii="PT Astra Serif" w:hAnsi="PT Astra Serif"/>
          <w:sz w:val="24"/>
          <w:szCs w:val="24"/>
          <w:u w:val="single"/>
        </w:rPr>
        <w:t xml:space="preserve"> А.И.</w:t>
      </w:r>
      <w:r>
        <w:rPr>
          <w:rFonts w:ascii="PT Astra Serif" w:hAnsi="PT Astra Serif"/>
          <w:b/>
          <w:sz w:val="24"/>
          <w:szCs w:val="24"/>
        </w:rPr>
        <w:t xml:space="preserve">   электронная почта </w:t>
      </w:r>
      <w:proofErr w:type="spellStart"/>
      <w:r>
        <w:rPr>
          <w:rFonts w:ascii="PT Astra Serif" w:hAnsi="PT Astra Serif"/>
          <w:sz w:val="24"/>
          <w:szCs w:val="24"/>
          <w:u w:val="single"/>
          <w:lang w:val="en-US"/>
        </w:rPr>
        <w:t>maxalsu</w:t>
      </w:r>
      <w:proofErr w:type="spellEnd"/>
      <w:r>
        <w:rPr>
          <w:rFonts w:ascii="PT Astra Serif" w:hAnsi="PT Astra Serif"/>
          <w:sz w:val="24"/>
          <w:szCs w:val="24"/>
          <w:u w:val="single"/>
        </w:rPr>
        <w:t>@</w:t>
      </w:r>
      <w:r>
        <w:rPr>
          <w:rFonts w:ascii="PT Astra Serif" w:hAnsi="PT Astra Serif"/>
          <w:sz w:val="24"/>
          <w:szCs w:val="24"/>
          <w:u w:val="single"/>
          <w:lang w:val="en-US"/>
        </w:rPr>
        <w:t>mail</w:t>
      </w:r>
      <w:r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</w:p>
    <w:p w:rsidR="00F368DF" w:rsidRDefault="00F368DF" w:rsidP="00F368DF">
      <w:pPr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b/>
          <w:sz w:val="24"/>
          <w:szCs w:val="24"/>
        </w:rPr>
        <w:t xml:space="preserve">Группа   </w:t>
      </w:r>
      <w:r>
        <w:rPr>
          <w:rFonts w:ascii="PT Astra Serif" w:hAnsi="PT Astra Serif"/>
          <w:sz w:val="24"/>
          <w:szCs w:val="24"/>
          <w:u w:val="single"/>
        </w:rPr>
        <w:t>ПСО11</w:t>
      </w: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Срок сдачи </w:t>
      </w:r>
      <w:r>
        <w:rPr>
          <w:rFonts w:ascii="PT Astra Serif" w:hAnsi="PT Astra Serif"/>
          <w:sz w:val="24"/>
          <w:szCs w:val="24"/>
          <w:u w:val="single"/>
        </w:rPr>
        <w:t>18.05.2020г.</w:t>
      </w: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Тема: «Понятие и классификация индексов»</w:t>
      </w: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План  </w:t>
      </w:r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</w:t>
      </w:r>
      <w:r>
        <w:rPr>
          <w:rFonts w:ascii="PT Astra Serif" w:hAnsi="PT Astra Serif"/>
          <w:sz w:val="24"/>
          <w:szCs w:val="24"/>
        </w:rPr>
        <w:t>. Понятие, классификация индексов.</w:t>
      </w:r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>
        <w:rPr>
          <w:sz w:val="24"/>
          <w:szCs w:val="24"/>
        </w:rPr>
        <w:t>Общие индексы количественных показателей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 </w:t>
      </w:r>
      <w:r>
        <w:rPr>
          <w:sz w:val="24"/>
          <w:szCs w:val="24"/>
        </w:rPr>
        <w:t>Общие индексы качественных показателей</w:t>
      </w:r>
      <w:r>
        <w:rPr>
          <w:rFonts w:ascii="PT Astra Serif" w:hAnsi="PT Astra Serif"/>
          <w:sz w:val="24"/>
          <w:szCs w:val="24"/>
        </w:rPr>
        <w:t>.</w:t>
      </w:r>
    </w:p>
    <w:p w:rsidR="00F368DF" w:rsidRPr="002C4B1D" w:rsidRDefault="00F368DF" w:rsidP="002C4B1D">
      <w:pPr>
        <w:ind w:firstLine="0"/>
        <w:rPr>
          <w:rFonts w:ascii="PT Astra Serif" w:hAnsi="PT Astra Serif"/>
          <w:sz w:val="24"/>
          <w:szCs w:val="24"/>
        </w:rPr>
      </w:pPr>
      <w:bookmarkStart w:id="0" w:name="_GoBack"/>
      <w:bookmarkEnd w:id="0"/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Контрольные задания:</w:t>
      </w:r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Составить конспект по теме в рабочей тетради, указать на полях дату полученного </w:t>
      </w:r>
      <w:proofErr w:type="gramStart"/>
      <w:r>
        <w:rPr>
          <w:rFonts w:ascii="PT Astra Serif" w:hAnsi="PT Astra Serif"/>
          <w:sz w:val="24"/>
          <w:szCs w:val="24"/>
        </w:rPr>
        <w:t>задания  и</w:t>
      </w:r>
      <w:proofErr w:type="gramEnd"/>
      <w:r>
        <w:rPr>
          <w:rFonts w:ascii="PT Astra Serif" w:hAnsi="PT Astra Serif"/>
          <w:sz w:val="24"/>
          <w:szCs w:val="24"/>
        </w:rPr>
        <w:t xml:space="preserve"> фамилию студента, фотоотчет прислать по электронной почте.</w:t>
      </w:r>
    </w:p>
    <w:p w:rsidR="00F368DF" w:rsidRDefault="00F368DF" w:rsidP="00F368DF">
      <w:pPr>
        <w:rPr>
          <w:rFonts w:ascii="PT Astra Serif" w:hAnsi="PT Astra Serif"/>
          <w:sz w:val="24"/>
          <w:szCs w:val="24"/>
        </w:rPr>
      </w:pPr>
    </w:p>
    <w:p w:rsidR="00F368DF" w:rsidRDefault="00F368DF" w:rsidP="00F368DF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0"/>
        <w:gridCol w:w="5015"/>
      </w:tblGrid>
      <w:tr w:rsidR="00F368DF" w:rsidTr="00F368DF">
        <w:trPr>
          <w:trHeight w:val="12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Основная литература (название учебника)</w:t>
            </w: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F" w:rsidRDefault="00F368D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Салин</w:t>
            </w:r>
            <w:proofErr w:type="spellEnd"/>
            <w:r>
              <w:rPr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, В.Н.</w:t>
            </w:r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 Статистика: учебное пособие / </w:t>
            </w:r>
            <w:proofErr w:type="spellStart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>Салин</w:t>
            </w:r>
            <w:proofErr w:type="spellEnd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В.Н., Чурилова Э.Ю., </w:t>
            </w:r>
            <w:proofErr w:type="spellStart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>Шпаковская</w:t>
            </w:r>
            <w:proofErr w:type="spellEnd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Е.П. — </w:t>
            </w:r>
            <w:proofErr w:type="gramStart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>Москва :</w:t>
            </w:r>
            <w:proofErr w:type="gramEnd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>КноРус</w:t>
            </w:r>
            <w:proofErr w:type="spellEnd"/>
            <w:r>
              <w:rPr>
                <w:color w:val="333333"/>
                <w:sz w:val="24"/>
                <w:szCs w:val="24"/>
                <w:shd w:val="clear" w:color="auto" w:fill="FFFFFF"/>
                <w:lang w:eastAsia="en-US"/>
              </w:rPr>
              <w:t>, 2019. — 292 с. — (СПО), стр. 203-217</w:t>
            </w:r>
          </w:p>
        </w:tc>
      </w:tr>
      <w:tr w:rsidR="00F368DF" w:rsidTr="00F368D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DF" w:rsidRDefault="00F368DF">
            <w:pPr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 xml:space="preserve">Дополнительная литература 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(при наличии)</w:t>
            </w: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DF" w:rsidRDefault="00F368DF">
            <w:pPr>
              <w:tabs>
                <w:tab w:val="left" w:pos="1159"/>
              </w:tabs>
              <w:spacing w:line="276" w:lineRule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Салин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В.Н, Попова А.А.,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Шпаковская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Е.П. </w:t>
            </w:r>
            <w:hyperlink r:id="rId4" w:history="1">
              <w:r>
                <w:rPr>
                  <w:rStyle w:val="a3"/>
                  <w:color w:val="000000" w:themeColor="text1"/>
                  <w:sz w:val="24"/>
                  <w:szCs w:val="24"/>
                  <w:u w:val="none"/>
                  <w:lang w:eastAsia="en-US"/>
                </w:rPr>
                <w:t>Статистика. Практикум (для СПО)</w:t>
              </w:r>
            </w:hyperlink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-  М.: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>, 2018.</w:t>
            </w:r>
          </w:p>
          <w:p w:rsidR="00F368DF" w:rsidRDefault="00F368DF">
            <w:pPr>
              <w:tabs>
                <w:tab w:val="left" w:pos="1159"/>
              </w:tabs>
              <w:spacing w:line="276" w:lineRule="auto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Гладун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И.В. </w:t>
            </w:r>
            <w:hyperlink r:id="rId5" w:history="1">
              <w:r>
                <w:rPr>
                  <w:rStyle w:val="a3"/>
                  <w:color w:val="000000" w:themeColor="text1"/>
                  <w:sz w:val="24"/>
                  <w:szCs w:val="24"/>
                  <w:lang w:eastAsia="en-US"/>
                </w:rPr>
                <w:t>Статистика (СПО). Учебник</w:t>
              </w:r>
            </w:hyperlink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  М.: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>, 2019</w:t>
            </w:r>
          </w:p>
          <w:p w:rsidR="00F368DF" w:rsidRDefault="00F368DF">
            <w:pPr>
              <w:tabs>
                <w:tab w:val="left" w:pos="1159"/>
              </w:tabs>
              <w:spacing w:line="276" w:lineRule="auto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Попова А.А.,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Салин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В.Н., Чурилова Э.Ю.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hyperlink r:id="rId6" w:history="1">
              <w:r>
                <w:rPr>
                  <w:rStyle w:val="a3"/>
                  <w:color w:val="000000" w:themeColor="text1"/>
                  <w:sz w:val="24"/>
                  <w:szCs w:val="24"/>
                  <w:u w:val="none"/>
                  <w:lang w:eastAsia="en-US"/>
                </w:rPr>
                <w:t>Статистика. Практикум (для СПО)</w:t>
              </w:r>
            </w:hyperlink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-  М.: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>, 2018</w:t>
            </w:r>
          </w:p>
          <w:p w:rsidR="00F368DF" w:rsidRDefault="00F368DF">
            <w:pPr>
              <w:tabs>
                <w:tab w:val="left" w:pos="1159"/>
              </w:tabs>
              <w:spacing w:line="276" w:lineRule="auto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Гладун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И.В. </w:t>
            </w:r>
            <w:hyperlink r:id="rId7" w:history="1">
              <w:r>
                <w:rPr>
                  <w:rStyle w:val="a3"/>
                  <w:color w:val="000000" w:themeColor="text1"/>
                  <w:sz w:val="24"/>
                  <w:szCs w:val="24"/>
                  <w:lang w:eastAsia="en-US"/>
                </w:rPr>
                <w:t>Статистика. Практикум + е Приложение: Тесты (СПО)</w:t>
              </w:r>
            </w:hyperlink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-  М.: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>, 2018</w:t>
            </w:r>
          </w:p>
          <w:p w:rsidR="00F368DF" w:rsidRDefault="00F368DF">
            <w:pPr>
              <w:spacing w:line="276" w:lineRule="auto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</w:tr>
    </w:tbl>
    <w:p w:rsidR="00F368DF" w:rsidRDefault="00F368DF" w:rsidP="00F368DF">
      <w:pPr>
        <w:rPr>
          <w:rFonts w:ascii="PT Astra Serif" w:hAnsi="PT Astra Serif"/>
          <w:b/>
          <w:szCs w:val="28"/>
        </w:rPr>
      </w:pPr>
    </w:p>
    <w:p w:rsidR="00F368DF" w:rsidRDefault="00F368DF" w:rsidP="00F368DF"/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hd w:val="clear" w:color="auto" w:fill="92D050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Тема: «Понятие и классификация индексов»</w:t>
      </w:r>
    </w:p>
    <w:p w:rsidR="00F368DF" w:rsidRDefault="00F368DF" w:rsidP="00F368DF">
      <w:pPr>
        <w:shd w:val="clear" w:color="auto" w:fill="92D050"/>
        <w:snapToGrid w:val="0"/>
        <w:jc w:val="center"/>
        <w:rPr>
          <w:b/>
          <w:sz w:val="24"/>
          <w:szCs w:val="24"/>
        </w:rPr>
      </w:pP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Индексом в статистике называется относительный показатель, характеризующий изменение величины какого-либо явления по сравнению с эталоном.</w:t>
      </w:r>
    </w:p>
    <w:p w:rsidR="00F368DF" w:rsidRDefault="00F368DF" w:rsidP="00F368DF">
      <w:pPr>
        <w:pStyle w:val="aa"/>
        <w:ind w:left="0" w:firstLine="0"/>
        <w:rPr>
          <w:bCs w:val="0"/>
          <w:iCs/>
          <w:sz w:val="24"/>
          <w:szCs w:val="24"/>
        </w:rPr>
      </w:pPr>
      <w:r>
        <w:rPr>
          <w:bCs w:val="0"/>
          <w:iCs/>
          <w:spacing w:val="0"/>
          <w:sz w:val="24"/>
          <w:szCs w:val="24"/>
        </w:rPr>
        <w:t xml:space="preserve">Таблица – </w:t>
      </w:r>
      <w:r>
        <w:rPr>
          <w:bCs w:val="0"/>
          <w:iCs/>
          <w:sz w:val="24"/>
          <w:szCs w:val="24"/>
        </w:rPr>
        <w:t>Классификация индексов</w:t>
      </w:r>
    </w:p>
    <w:tbl>
      <w:tblPr>
        <w:tblW w:w="102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655"/>
        <w:gridCol w:w="2153"/>
        <w:gridCol w:w="1642"/>
        <w:gridCol w:w="1145"/>
        <w:gridCol w:w="2695"/>
      </w:tblGrid>
      <w:tr w:rsidR="00F368DF" w:rsidTr="00F368DF">
        <w:trPr>
          <w:trHeight w:val="454"/>
          <w:tblHeader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Классификационный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признак</w:t>
            </w:r>
          </w:p>
        </w:tc>
        <w:tc>
          <w:tcPr>
            <w:tcW w:w="7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индексов</w:t>
            </w:r>
          </w:p>
        </w:tc>
      </w:tr>
      <w:tr w:rsidR="00F368DF" w:rsidTr="00F368D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Содержание изучаемых объектов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Количественные (объемные) индексы (физического объема, товарооборота национального дохода)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Качественные индексы (интенсивности) (курса валют, цен, себестоимости, производительности труда)</w:t>
            </w:r>
          </w:p>
        </w:tc>
      </w:tr>
      <w:tr w:rsidR="00F368DF" w:rsidTr="00F368D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Степень охвата элементов совокупности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Индивидуальные (изменение одного показателя однотоварного)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общие (групповые или </w:t>
            </w:r>
            <w:proofErr w:type="spellStart"/>
            <w:r>
              <w:rPr>
                <w:sz w:val="24"/>
                <w:szCs w:val="24"/>
                <w:lang w:eastAsia="en-US"/>
              </w:rPr>
              <w:t>субидексы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(по отраслям))</w:t>
            </w:r>
          </w:p>
        </w:tc>
      </w:tr>
      <w:tr w:rsidR="00F368DF" w:rsidTr="00F368DF">
        <w:trPr>
          <w:trHeight w:val="294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Метод расчета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Агрегатные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Средние</w:t>
            </w:r>
          </w:p>
        </w:tc>
      </w:tr>
      <w:tr w:rsidR="00F368DF" w:rsidTr="00F368D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База сравнения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Динамические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Территориальные (например, индекс цен на товары в РФ)</w:t>
            </w:r>
          </w:p>
        </w:tc>
      </w:tr>
      <w:tr w:rsidR="00F368DF" w:rsidTr="00F368DF">
        <w:trPr>
          <w:trHeight w:val="366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Вид весов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постоянными весами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переменными весами</w:t>
            </w:r>
          </w:p>
        </w:tc>
      </w:tr>
      <w:tr w:rsidR="00F368DF" w:rsidTr="00F368DF">
        <w:trPr>
          <w:trHeight w:val="262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Состав явления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Постоянного состава 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Переменного состава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Структурных сдвигов</w:t>
            </w:r>
          </w:p>
        </w:tc>
      </w:tr>
      <w:tr w:rsidR="00F368DF" w:rsidTr="00F368DF">
        <w:trPr>
          <w:trHeight w:val="365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 Период исчисления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Годовые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Квартальные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Помесячные и т.д.</w:t>
            </w:r>
          </w:p>
        </w:tc>
      </w:tr>
    </w:tbl>
    <w:p w:rsidR="00F368DF" w:rsidRDefault="00F368DF" w:rsidP="00F368DF">
      <w:pPr>
        <w:pStyle w:val="aa"/>
        <w:ind w:left="0" w:firstLine="0"/>
        <w:rPr>
          <w:bCs w:val="0"/>
          <w:iCs/>
          <w:sz w:val="24"/>
          <w:szCs w:val="24"/>
        </w:rPr>
      </w:pPr>
      <w:proofErr w:type="gramStart"/>
      <w:r>
        <w:rPr>
          <w:bCs w:val="0"/>
          <w:iCs/>
          <w:spacing w:val="0"/>
          <w:sz w:val="24"/>
          <w:szCs w:val="24"/>
        </w:rPr>
        <w:t>Таблица  –</w:t>
      </w:r>
      <w:proofErr w:type="gramEnd"/>
      <w:r>
        <w:rPr>
          <w:bCs w:val="0"/>
          <w:iCs/>
          <w:spacing w:val="0"/>
          <w:sz w:val="24"/>
          <w:szCs w:val="24"/>
        </w:rPr>
        <w:t xml:space="preserve"> </w:t>
      </w:r>
      <w:r>
        <w:rPr>
          <w:bCs w:val="0"/>
          <w:iCs/>
          <w:sz w:val="24"/>
          <w:szCs w:val="24"/>
        </w:rPr>
        <w:t>Обозначения индексируемых величин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11"/>
        <w:gridCol w:w="3824"/>
        <w:gridCol w:w="284"/>
        <w:gridCol w:w="1004"/>
        <w:gridCol w:w="4161"/>
      </w:tblGrid>
      <w:tr w:rsidR="00F368DF" w:rsidTr="00F368DF">
        <w:trPr>
          <w:trHeight w:val="36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Обозначение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Индексируемая величина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Обозначение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Индексируемая величина</w:t>
            </w:r>
          </w:p>
        </w:tc>
      </w:tr>
      <w:tr w:rsidR="00F368DF" w:rsidTr="00F368DF">
        <w:trPr>
          <w:trHeight w:val="375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(объем) какого-либо товара в натуральном выражении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t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затраты времени на производство единицы продукции, трудоемкость</w:t>
            </w:r>
          </w:p>
        </w:tc>
      </w:tr>
      <w:tr w:rsidR="00F368DF" w:rsidTr="00F368D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p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цена единицы товара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W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выработка продукции в единицу времени или на одного работника (производительность труда)</w:t>
            </w:r>
          </w:p>
        </w:tc>
      </w:tr>
      <w:tr w:rsidR="00F368DF" w:rsidTr="00F368DF">
        <w:trPr>
          <w:cantSplit/>
          <w:trHeight w:val="487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en-US" w:eastAsia="en-US"/>
              </w:rPr>
              <w:t>pq</w:t>
            </w:r>
            <w:proofErr w:type="spellEnd"/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товарооборот (стоимость продукции)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368DF" w:rsidTr="00F368D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 xml:space="preserve">z </w:t>
            </w:r>
            <w:r>
              <w:rPr>
                <w:iCs/>
                <w:sz w:val="24"/>
                <w:szCs w:val="24"/>
                <w:lang w:eastAsia="en-US"/>
              </w:rPr>
              <w:t>(</w:t>
            </w:r>
            <w:r>
              <w:rPr>
                <w:i/>
                <w:iCs/>
                <w:sz w:val="24"/>
                <w:szCs w:val="24"/>
                <w:lang w:val="en-US" w:eastAsia="en-US"/>
              </w:rPr>
              <w:t>c</w:t>
            </w:r>
            <w:r>
              <w:rPr>
                <w:i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себестоимость единицы продукции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T</w:t>
            </w:r>
            <w:r>
              <w:rPr>
                <w:iCs/>
                <w:sz w:val="24"/>
                <w:szCs w:val="24"/>
                <w:lang w:eastAsia="en-US"/>
              </w:rPr>
              <w:t>=</w:t>
            </w:r>
            <w:proofErr w:type="spellStart"/>
            <w:r>
              <w:rPr>
                <w:i/>
                <w:iCs/>
                <w:sz w:val="24"/>
                <w:szCs w:val="24"/>
                <w:lang w:val="en-US" w:eastAsia="en-US"/>
              </w:rPr>
              <w:t>tq</w:t>
            </w:r>
            <w:proofErr w:type="spellEnd"/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общие затраты времени на производство продукции или численность работников</w:t>
            </w:r>
          </w:p>
        </w:tc>
      </w:tr>
      <w:tr w:rsidR="00F368DF" w:rsidTr="00F368DF">
        <w:trPr>
          <w:cantSplit/>
          <w:trHeight w:val="253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урожайность отдельных сельскохозяйственных культур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368DF" w:rsidTr="00F368D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c"/>
              <w:spacing w:line="276" w:lineRule="auto"/>
              <w:ind w:left="-6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посевная площадь под отдельными культурами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8DF" w:rsidRDefault="00F368DF">
            <w:pPr>
              <w:snapToGrid w:val="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:rsidR="00F368DF" w:rsidRDefault="00F368DF" w:rsidP="00F368DF">
      <w:pPr>
        <w:spacing w:before="200"/>
        <w:rPr>
          <w:b/>
          <w:sz w:val="24"/>
          <w:szCs w:val="24"/>
        </w:rPr>
      </w:pPr>
    </w:p>
    <w:p w:rsidR="00F368DF" w:rsidRDefault="00F368DF" w:rsidP="00F368DF">
      <w:pPr>
        <w:shd w:val="clear" w:color="auto" w:fill="92D050"/>
        <w:spacing w:before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Общие индексы количественных показателей</w:t>
      </w:r>
    </w:p>
    <w:p w:rsidR="00F368DF" w:rsidRDefault="00F368DF" w:rsidP="00F368DF">
      <w:pPr>
        <w:spacing w:before="200"/>
        <w:rPr>
          <w:sz w:val="24"/>
          <w:szCs w:val="24"/>
        </w:rPr>
      </w:pPr>
      <w:r>
        <w:rPr>
          <w:b/>
          <w:sz w:val="24"/>
          <w:szCs w:val="24"/>
        </w:rPr>
        <w:t>Индекс физического</w:t>
      </w:r>
      <w:r>
        <w:rPr>
          <w:b/>
          <w:bCs/>
          <w:sz w:val="24"/>
          <w:szCs w:val="24"/>
        </w:rPr>
        <w:t xml:space="preserve"> объема продукции</w:t>
      </w:r>
      <w:r>
        <w:rPr>
          <w:sz w:val="24"/>
          <w:szCs w:val="24"/>
        </w:rPr>
        <w:t xml:space="preserve"> показывает относительное изменение стоимости продукции из-за изменения объема производства.</w:t>
      </w:r>
    </w:p>
    <w:p w:rsidR="00F368DF" w:rsidRDefault="00F368DF" w:rsidP="00F368DF">
      <w:pPr>
        <w:snapToGrid w:val="0"/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Индивидуальный индекс: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position w:val="-34"/>
          <w:sz w:val="24"/>
          <w:szCs w:val="24"/>
        </w:rPr>
        <w:object w:dxaOrig="915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39pt" o:ole="">
            <v:imagedata r:id="rId8" o:title=""/>
          </v:shape>
          <o:OLEObject Type="Embed" ProgID="Equation.3" ShapeID="_x0000_i1025" DrawAspect="Content" ObjectID="_1650907097" r:id="rId9"/>
        </w:objec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(7.</w:t>
      </w:r>
      <w:r>
        <w:rPr>
          <w:bCs/>
          <w:sz w:val="24"/>
          <w:szCs w:val="24"/>
        </w:rPr>
        <w:t>1)</w:t>
      </w:r>
    </w:p>
    <w:p w:rsidR="00F368DF" w:rsidRDefault="00F368DF" w:rsidP="00F368DF">
      <w:pPr>
        <w:snapToGrid w:val="0"/>
        <w:spacing w:before="200" w:after="200"/>
        <w:rPr>
          <w:sz w:val="24"/>
          <w:szCs w:val="24"/>
        </w:rPr>
      </w:pPr>
      <w:r>
        <w:rPr>
          <w:sz w:val="24"/>
          <w:szCs w:val="24"/>
        </w:rPr>
        <w:t xml:space="preserve">Агрегатный индекс: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position w:val="-34"/>
          <w:sz w:val="24"/>
          <w:szCs w:val="24"/>
        </w:rPr>
        <w:object w:dxaOrig="1575" w:dyaOrig="795">
          <v:shape id="_x0000_i1026" type="#_x0000_t75" style="width:78.75pt;height:39.75pt" o:ole="" fillcolor="window">
            <v:imagedata r:id="rId10" o:title=""/>
          </v:shape>
          <o:OLEObject Type="Embed" ProgID="Equation.3" ShapeID="_x0000_i1026" DrawAspect="Content" ObjectID="_1650907098" r:id="rId11"/>
        </w:object>
      </w:r>
      <w:r>
        <w:rPr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(7.</w:t>
      </w:r>
      <w:r>
        <w:rPr>
          <w:bCs/>
          <w:sz w:val="24"/>
          <w:szCs w:val="24"/>
        </w:rPr>
        <w:t>2)</w:t>
      </w:r>
    </w:p>
    <w:p w:rsidR="00F368DF" w:rsidRDefault="00F368DF" w:rsidP="00F368DF">
      <w:pPr>
        <w:pStyle w:val="a6"/>
        <w:rPr>
          <w:sz w:val="24"/>
          <w:szCs w:val="24"/>
        </w:rPr>
      </w:pPr>
      <w:r>
        <w:rPr>
          <w:sz w:val="24"/>
          <w:szCs w:val="24"/>
        </w:rPr>
        <w:t>где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и </w:t>
      </w:r>
      <w:r>
        <w:rPr>
          <w:i/>
          <w:iCs/>
          <w:sz w:val="24"/>
          <w:szCs w:val="24"/>
          <w:lang w:val="en-US"/>
        </w:rPr>
        <w:t>q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 – объем выпуска продаж в базисном и отчетном периодах соответственно; </w:t>
      </w:r>
    </w:p>
    <w:p w:rsidR="00F368DF" w:rsidRDefault="00F368DF" w:rsidP="00F368DF">
      <w:pPr>
        <w:pStyle w:val="a6"/>
        <w:ind w:firstLine="851"/>
        <w:rPr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 – цена в базисном периоде.</w:t>
      </w:r>
    </w:p>
    <w:p w:rsidR="00F368DF" w:rsidRDefault="00F368DF" w:rsidP="00F368DF">
      <w:pPr>
        <w:snapToGrid w:val="0"/>
        <w:spacing w:before="2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Индекс товарооборота </w:t>
      </w:r>
      <w:r>
        <w:rPr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или стоимости продукции</w:t>
      </w:r>
      <w:r>
        <w:rPr>
          <w:sz w:val="24"/>
          <w:szCs w:val="24"/>
        </w:rPr>
        <w:t>), показывает во сколько раз изменилась стоимость продукции.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Агрегатный индекс товарооборота </w:t>
      </w:r>
    </w:p>
    <w:p w:rsidR="00F368DF" w:rsidRDefault="00F368DF" w:rsidP="00F368DF">
      <w:pPr>
        <w:pStyle w:val="a9"/>
        <w:rPr>
          <w:bCs/>
          <w:sz w:val="24"/>
          <w:szCs w:val="24"/>
          <w:lang w:val="ru-RU"/>
        </w:rPr>
      </w:pPr>
      <w:r>
        <w:rPr>
          <w:position w:val="-38"/>
          <w:sz w:val="24"/>
          <w:szCs w:val="24"/>
        </w:rPr>
        <w:object w:dxaOrig="1695" w:dyaOrig="840">
          <v:shape id="_x0000_i1027" type="#_x0000_t75" style="width:84.75pt;height:42pt" o:ole="" fillcolor="window">
            <v:imagedata r:id="rId12" o:title=""/>
          </v:shape>
          <o:OLEObject Type="Embed" ProgID="Equation.3" ShapeID="_x0000_i1027" DrawAspect="Content" ObjectID="_1650907099" r:id="rId13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4)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На сколько изменилась стоимость продукции показывает разница между числителем и знаменателем индекса: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16"/>
          <w:sz w:val="24"/>
          <w:szCs w:val="24"/>
        </w:rPr>
        <w:object w:dxaOrig="2820" w:dyaOrig="420">
          <v:shape id="_x0000_i1028" type="#_x0000_t75" style="width:141pt;height:21pt" o:ole="" fillcolor="window">
            <v:imagedata r:id="rId14" o:title=""/>
          </v:shape>
          <o:OLEObject Type="Embed" ProgID="Equation.3" ShapeID="_x0000_i1028" DrawAspect="Content" ObjectID="_1650907100" r:id="rId15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3)</w:t>
      </w:r>
    </w:p>
    <w:p w:rsidR="00F368DF" w:rsidRDefault="00F368DF" w:rsidP="00F368DF">
      <w:pPr>
        <w:snapToGrid w:val="0"/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При построении индекса физического объема продукции в качестве </w:t>
      </w:r>
      <w:proofErr w:type="spellStart"/>
      <w:r>
        <w:rPr>
          <w:sz w:val="24"/>
          <w:szCs w:val="24"/>
        </w:rPr>
        <w:t>соизмерителей</w:t>
      </w:r>
      <w:proofErr w:type="spellEnd"/>
      <w:r>
        <w:rPr>
          <w:sz w:val="24"/>
          <w:szCs w:val="24"/>
        </w:rPr>
        <w:t xml:space="preserve"> (весов) принимаются сопоставимые, неизменные, фиксированные цены, отличающиеся от текущих (действующих) цен (это в условиях инфляции могут быть цены предшествующего периода) или себестоимость </w:t>
      </w:r>
      <w:proofErr w:type="gramStart"/>
      <w:r>
        <w:rPr>
          <w:sz w:val="24"/>
          <w:szCs w:val="24"/>
        </w:rPr>
        <w:t xml:space="preserve">продукции  </w:t>
      </w:r>
      <w:r>
        <w:rPr>
          <w:i/>
          <w:iCs/>
          <w:sz w:val="24"/>
          <w:szCs w:val="24"/>
          <w:lang w:val="en-US"/>
        </w:rPr>
        <w:t>z</w:t>
      </w:r>
      <w:proofErr w:type="gramEnd"/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. В этом случае индекс характеризует изменение издержек производства.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38"/>
          <w:sz w:val="24"/>
          <w:szCs w:val="24"/>
        </w:rPr>
        <w:object w:dxaOrig="1560" w:dyaOrig="840">
          <v:shape id="_x0000_i1029" type="#_x0000_t75" style="width:78pt;height:42pt" o:ole="" fillcolor="window">
            <v:imagedata r:id="rId16" o:title=""/>
          </v:shape>
          <o:OLEObject Type="Embed" ProgID="Equation.3" ShapeID="_x0000_i1029" DrawAspect="Content" ObjectID="_1650907101" r:id="rId17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bCs/>
          <w:sz w:val="24"/>
          <w:szCs w:val="24"/>
          <w:lang w:val="ru-RU"/>
        </w:rPr>
        <w:tab/>
        <w:t>(7.5)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Аналогично строятся индексы товарооборота и потребления.</w:t>
      </w:r>
    </w:p>
    <w:p w:rsidR="00F368DF" w:rsidRDefault="00F368DF" w:rsidP="00F368DF">
      <w:pPr>
        <w:snapToGrid w:val="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Значение общего </w:t>
      </w:r>
      <w:proofErr w:type="gramStart"/>
      <w:r>
        <w:rPr>
          <w:sz w:val="24"/>
          <w:szCs w:val="24"/>
        </w:rPr>
        <w:t xml:space="preserve">индекса  </w:t>
      </w:r>
      <w:proofErr w:type="spellStart"/>
      <w:r>
        <w:rPr>
          <w:i/>
          <w:iCs/>
          <w:sz w:val="24"/>
          <w:szCs w:val="24"/>
          <w:lang w:val="en-US"/>
        </w:rPr>
        <w:t>I</w:t>
      </w:r>
      <w:r>
        <w:rPr>
          <w:i/>
          <w:iCs/>
          <w:sz w:val="24"/>
          <w:szCs w:val="24"/>
          <w:vertAlign w:val="subscript"/>
          <w:lang w:val="en-US"/>
        </w:rPr>
        <w:t>pq</w:t>
      </w:r>
      <w:proofErr w:type="spellEnd"/>
      <w:proofErr w:type="gramEnd"/>
      <w:r>
        <w:rPr>
          <w:sz w:val="24"/>
          <w:szCs w:val="24"/>
        </w:rPr>
        <w:t xml:space="preserve">  зависит от изменения двух индексируемых величин объема продукции </w:t>
      </w:r>
      <w:r>
        <w:rPr>
          <w:iCs/>
          <w:sz w:val="24"/>
          <w:szCs w:val="24"/>
        </w:rPr>
        <w:t>(</w:t>
      </w:r>
      <w:r>
        <w:rPr>
          <w:i/>
          <w:iCs/>
          <w:sz w:val="24"/>
          <w:szCs w:val="24"/>
          <w:lang w:val="en-US"/>
        </w:rPr>
        <w:t>q</w:t>
      </w:r>
      <w:r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>,</w:t>
      </w:r>
      <w:r>
        <w:rPr>
          <w:i/>
          <w:iCs/>
          <w:sz w:val="24"/>
          <w:szCs w:val="24"/>
          <w:vertAlign w:val="subscript"/>
        </w:rPr>
        <w:t xml:space="preserve"> </w:t>
      </w:r>
      <w:r>
        <w:rPr>
          <w:i/>
          <w:iCs/>
          <w:sz w:val="24"/>
          <w:szCs w:val="24"/>
          <w:lang w:val="en-US"/>
        </w:rPr>
        <w:t>q</w:t>
      </w:r>
      <w:r>
        <w:rPr>
          <w:iCs/>
          <w:sz w:val="24"/>
          <w:szCs w:val="24"/>
          <w:vertAlign w:val="subscript"/>
        </w:rPr>
        <w:t>1</w:t>
      </w:r>
      <w:r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 и цен </w:t>
      </w:r>
      <w:r>
        <w:rPr>
          <w:iCs/>
          <w:sz w:val="24"/>
          <w:szCs w:val="24"/>
        </w:rPr>
        <w:t>(</w:t>
      </w:r>
      <w:r>
        <w:rPr>
          <w:i/>
          <w:iCs/>
          <w:sz w:val="24"/>
          <w:szCs w:val="24"/>
          <w:lang w:val="en-US"/>
        </w:rPr>
        <w:t>p</w:t>
      </w:r>
      <w:r>
        <w:rPr>
          <w:iCs/>
          <w:sz w:val="24"/>
          <w:szCs w:val="24"/>
          <w:vertAlign w:val="subscript"/>
        </w:rPr>
        <w:t>1</w:t>
      </w:r>
      <w:r>
        <w:rPr>
          <w:iCs/>
          <w:sz w:val="24"/>
          <w:szCs w:val="24"/>
        </w:rPr>
        <w:t>,</w:t>
      </w:r>
      <w:r>
        <w:rPr>
          <w:i/>
          <w:iCs/>
          <w:sz w:val="24"/>
          <w:szCs w:val="24"/>
          <w:lang w:val="en-US"/>
        </w:rPr>
        <w:t>p</w:t>
      </w:r>
      <w:r>
        <w:rPr>
          <w:iCs/>
          <w:sz w:val="24"/>
          <w:szCs w:val="24"/>
          <w:vertAlign w:val="subscript"/>
        </w:rPr>
        <w:t>0</w:t>
      </w:r>
      <w:r>
        <w:rPr>
          <w:iCs/>
          <w:sz w:val="24"/>
          <w:szCs w:val="24"/>
        </w:rPr>
        <w:t>)</w:t>
      </w:r>
      <w:r>
        <w:rPr>
          <w:i/>
          <w:iCs/>
          <w:sz w:val="24"/>
          <w:szCs w:val="24"/>
        </w:rPr>
        <w:t>.</w:t>
      </w:r>
    </w:p>
    <w:p w:rsidR="00F368DF" w:rsidRDefault="00F368DF" w:rsidP="00F368DF">
      <w:pPr>
        <w:snapToGrid w:val="0"/>
        <w:spacing w:before="200"/>
        <w:rPr>
          <w:sz w:val="24"/>
          <w:szCs w:val="24"/>
        </w:rPr>
      </w:pPr>
      <w:r>
        <w:rPr>
          <w:sz w:val="24"/>
          <w:szCs w:val="24"/>
        </w:rPr>
        <w:t>В зависимости от вида исходных данных можно исчислить средние взвешенные (арифметические) индексы физического объема.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Если неизвестно  </w:t>
      </w:r>
      <w:r>
        <w:rPr>
          <w:i/>
          <w:iCs/>
          <w:sz w:val="24"/>
          <w:szCs w:val="24"/>
          <w:lang w:val="en-US"/>
        </w:rPr>
        <w:t>q</w:t>
      </w:r>
      <w:r>
        <w:rPr>
          <w:bCs/>
          <w:iCs/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, но дано значение  </w:t>
      </w:r>
      <w:r>
        <w:rPr>
          <w:i/>
          <w:iCs/>
          <w:sz w:val="24"/>
          <w:szCs w:val="24"/>
          <w:lang w:val="en-US"/>
        </w:rPr>
        <w:t>q</w:t>
      </w:r>
      <w:r>
        <w:rPr>
          <w:bCs/>
          <w:iCs/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  и  </w:t>
      </w:r>
      <w:r>
        <w:rPr>
          <w:position w:val="-34"/>
          <w:sz w:val="24"/>
          <w:szCs w:val="24"/>
        </w:rPr>
        <w:object w:dxaOrig="1005" w:dyaOrig="750">
          <v:shape id="_x0000_i1030" type="#_x0000_t75" style="width:50.25pt;height:37.5pt" o:ole="" fillcolor="window">
            <v:imagedata r:id="rId18" o:title=""/>
          </v:shape>
          <o:OLEObject Type="Embed" ProgID="Equation.3" ShapeID="_x0000_i1030" DrawAspect="Content" ObjectID="_1650907102" r:id="rId19"/>
        </w:object>
      </w:r>
      <w:r>
        <w:rPr>
          <w:sz w:val="24"/>
          <w:szCs w:val="24"/>
        </w:rPr>
        <w:t xml:space="preserve">, а также стоимость продукции базисного периода  </w:t>
      </w:r>
      <w:r>
        <w:rPr>
          <w:i/>
          <w:iCs/>
          <w:sz w:val="24"/>
          <w:szCs w:val="24"/>
          <w:lang w:val="en-US"/>
        </w:rPr>
        <w:t>p</w:t>
      </w:r>
      <w:r>
        <w:rPr>
          <w:bCs/>
          <w:iCs/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, то </w:t>
      </w:r>
      <w:r>
        <w:rPr>
          <w:b/>
          <w:bCs/>
          <w:sz w:val="24"/>
          <w:szCs w:val="24"/>
        </w:rPr>
        <w:t>средний арифметический индекс физического объема</w:t>
      </w:r>
      <w:r>
        <w:rPr>
          <w:sz w:val="24"/>
          <w:szCs w:val="24"/>
        </w:rPr>
        <w:t xml:space="preserve"> равен: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34"/>
          <w:sz w:val="24"/>
          <w:szCs w:val="24"/>
        </w:rPr>
        <w:object w:dxaOrig="1800" w:dyaOrig="840">
          <v:shape id="_x0000_i1031" type="#_x0000_t75" style="width:90pt;height:42pt" o:ole="" fillcolor="window">
            <v:imagedata r:id="rId20" o:title=""/>
          </v:shape>
          <o:OLEObject Type="Embed" ProgID="Equation.3" ShapeID="_x0000_i1031" DrawAspect="Content" ObjectID="_1650907103" r:id="rId21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bCs/>
          <w:sz w:val="24"/>
          <w:szCs w:val="24"/>
          <w:lang w:val="ru-RU"/>
        </w:rPr>
        <w:tab/>
        <w:t>(7.6)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b/>
          <w:bCs/>
          <w:sz w:val="24"/>
          <w:szCs w:val="24"/>
        </w:rPr>
        <w:t>Средний гармонический индекс физического объема</w:t>
      </w:r>
      <w:r>
        <w:rPr>
          <w:sz w:val="24"/>
          <w:szCs w:val="24"/>
        </w:rPr>
        <w:t xml:space="preserve"> используется для аналитических оценок в случае, когда неизвестно  </w:t>
      </w:r>
      <w:r>
        <w:rPr>
          <w:i/>
          <w:iCs/>
          <w:sz w:val="24"/>
          <w:szCs w:val="24"/>
          <w:lang w:val="en-US"/>
        </w:rPr>
        <w:t>q</w:t>
      </w:r>
      <w:r>
        <w:rPr>
          <w:bCs/>
          <w:iCs/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, но дано значение  </w:t>
      </w:r>
      <w:r>
        <w:rPr>
          <w:i/>
          <w:iCs/>
          <w:sz w:val="24"/>
          <w:szCs w:val="24"/>
          <w:lang w:val="en-US"/>
        </w:rPr>
        <w:t>q</w:t>
      </w:r>
      <w:r>
        <w:rPr>
          <w:bCs/>
          <w:iCs/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 и  </w:t>
      </w:r>
      <w:r>
        <w:rPr>
          <w:position w:val="-34"/>
          <w:sz w:val="24"/>
          <w:szCs w:val="24"/>
        </w:rPr>
        <w:object w:dxaOrig="1005" w:dyaOrig="885">
          <v:shape id="_x0000_i1032" type="#_x0000_t75" style="width:50.25pt;height:44.25pt" o:ole="" fillcolor="window">
            <v:imagedata r:id="rId18" o:title=""/>
          </v:shape>
          <o:OLEObject Type="Embed" ProgID="Equation.3" ShapeID="_x0000_i1032" DrawAspect="Content" ObjectID="_1650907104" r:id="rId22"/>
        </w:object>
      </w:r>
      <w:r>
        <w:rPr>
          <w:sz w:val="24"/>
          <w:szCs w:val="24"/>
        </w:rPr>
        <w:t xml:space="preserve">, а также стоимость продукции базисного периода  </w:t>
      </w:r>
      <w:r>
        <w:rPr>
          <w:i/>
          <w:iCs/>
          <w:sz w:val="24"/>
          <w:szCs w:val="24"/>
          <w:lang w:val="en-US"/>
        </w:rPr>
        <w:t>p</w:t>
      </w:r>
      <w:r>
        <w:rPr>
          <w:bCs/>
          <w:iCs/>
          <w:sz w:val="24"/>
          <w:szCs w:val="24"/>
          <w:vertAlign w:val="subscript"/>
        </w:rPr>
        <w:t>0</w:t>
      </w:r>
      <w:r>
        <w:rPr>
          <w:bCs/>
          <w:iCs/>
          <w:sz w:val="24"/>
          <w:szCs w:val="24"/>
        </w:rPr>
        <w:t>: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76"/>
          <w:sz w:val="24"/>
          <w:szCs w:val="24"/>
        </w:rPr>
        <w:object w:dxaOrig="1575" w:dyaOrig="1215">
          <v:shape id="_x0000_i1033" type="#_x0000_t75" style="width:78.75pt;height:60.75pt" o:ole="" fillcolor="window">
            <v:imagedata r:id="rId23" o:title=""/>
          </v:shape>
          <o:OLEObject Type="Embed" ProgID="Equation.3" ShapeID="_x0000_i1033" DrawAspect="Content" ObjectID="_1650907105" r:id="rId24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(7.7)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Индекс физического объема в прошлом вычисляется в сопоставимых, фиксированных ценах и отражает динамику выпуска продукции. В торговле чаще вычисляется в фактических ценах, отражая одновременное изменение цен и объема.</w:t>
      </w:r>
    </w:p>
    <w:p w:rsidR="00F368DF" w:rsidRDefault="00F368DF" w:rsidP="00F368DF">
      <w:pPr>
        <w:snapToGrid w:val="0"/>
        <w:spacing w:before="200" w:after="200"/>
        <w:ind w:firstLine="8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Пример </w:t>
      </w:r>
      <w:r>
        <w:rPr>
          <w:sz w:val="24"/>
          <w:szCs w:val="24"/>
        </w:rPr>
        <w:t>Предприятие выпускает 3 вида неоднородной продукции. Данные об их производстве и ценах на них за два периода приведены в таблице (графы 1–5). Определить индивидуальные и агрегатные индексы физического объема.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5"/>
        <w:gridCol w:w="1194"/>
        <w:gridCol w:w="1195"/>
        <w:gridCol w:w="1195"/>
        <w:gridCol w:w="1195"/>
        <w:gridCol w:w="1195"/>
        <w:gridCol w:w="1195"/>
        <w:gridCol w:w="1432"/>
      </w:tblGrid>
      <w:tr w:rsidR="00F368DF" w:rsidTr="00F368DF">
        <w:trPr>
          <w:cantSplit/>
          <w:trHeight w:val="709"/>
          <w:jc w:val="center"/>
        </w:trPr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Выработано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тыс. единиц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Цена за единицу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товара, руб.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Стоимость продукции в базисных ценах, </w:t>
            </w:r>
            <w:proofErr w:type="spellStart"/>
            <w:r>
              <w:rPr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Индивидуальный индекс физического объема</w:t>
            </w:r>
          </w:p>
        </w:tc>
      </w:tr>
      <w:tr w:rsidR="00F368DF" w:rsidTr="00F368DF">
        <w:trPr>
          <w:cantSplit/>
          <w:trHeight w:val="709"/>
          <w:jc w:val="center"/>
        </w:trPr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базисный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отчетный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базисный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отчетный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базисный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отчетный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368DF" w:rsidTr="00F368DF">
        <w:trPr>
          <w:cantSplit/>
          <w:trHeight w:val="454"/>
          <w:jc w:val="center"/>
        </w:trPr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  <w:r>
              <w:rPr>
                <w:i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  <w:r>
              <w:rPr>
                <w:i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position w:val="-34"/>
                <w:sz w:val="24"/>
                <w:szCs w:val="24"/>
                <w:lang w:eastAsia="en-US"/>
              </w:rPr>
              <w:object w:dxaOrig="915" w:dyaOrig="780">
                <v:shape id="_x0000_i1034" type="#_x0000_t75" style="width:45.75pt;height:39pt" o:ole="">
                  <v:imagedata r:id="rId8" o:title=""/>
                </v:shape>
                <o:OLEObject Type="Embed" ProgID="Equation.3" ShapeID="_x0000_i1034" DrawAspect="Content" ObjectID="_1650907106" r:id="rId25"/>
              </w:object>
            </w:r>
          </w:p>
        </w:tc>
      </w:tr>
      <w:tr w:rsidR="00F368DF" w:rsidTr="00F368DF">
        <w:trPr>
          <w:trHeight w:val="217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780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0,750</w:t>
            </w:r>
          </w:p>
        </w:tc>
      </w:tr>
      <w:tr w:rsidR="00F368DF" w:rsidTr="00F368DF">
        <w:trPr>
          <w:trHeight w:val="295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0,600</w:t>
            </w:r>
          </w:p>
        </w:tc>
      </w:tr>
      <w:tr w:rsidR="00F368DF" w:rsidTr="00F368DF">
        <w:trPr>
          <w:trHeight w:val="193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0,875</w:t>
            </w:r>
          </w:p>
        </w:tc>
      </w:tr>
      <w:tr w:rsidR="00F368DF" w:rsidTr="00F368DF">
        <w:trPr>
          <w:trHeight w:val="271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Σ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1530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</w:tr>
    </w:tbl>
    <w:p w:rsidR="00F368DF" w:rsidRDefault="00F368DF" w:rsidP="00F368DF">
      <w:pPr>
        <w:snapToGrid w:val="0"/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Агрегатный индекс физического объема: </w:t>
      </w:r>
    </w:p>
    <w:p w:rsidR="00F368DF" w:rsidRDefault="00F368DF" w:rsidP="00F368DF">
      <w:pPr>
        <w:snapToGrid w:val="0"/>
        <w:spacing w:before="200"/>
        <w:ind w:firstLine="2840"/>
        <w:rPr>
          <w:sz w:val="24"/>
          <w:szCs w:val="24"/>
        </w:rPr>
      </w:pPr>
      <w:r>
        <w:rPr>
          <w:position w:val="-34"/>
          <w:sz w:val="24"/>
          <w:szCs w:val="24"/>
        </w:rPr>
        <w:object w:dxaOrig="2430" w:dyaOrig="795">
          <v:shape id="_x0000_i1035" type="#_x0000_t75" style="width:121.5pt;height:39.75pt" o:ole="" fillcolor="window">
            <v:imagedata r:id="rId26" o:title=""/>
          </v:shape>
          <o:OLEObject Type="Embed" ProgID="Equation.3" ShapeID="_x0000_i1035" DrawAspect="Content" ObjectID="_1650907107" r:id="rId27"/>
        </w:object>
      </w:r>
      <w:r>
        <w:rPr>
          <w:sz w:val="24"/>
          <w:szCs w:val="24"/>
        </w:rPr>
        <w:t>= 0,702 (70,2%).</w:t>
      </w:r>
    </w:p>
    <w:p w:rsidR="00F368DF" w:rsidRDefault="00F368DF" w:rsidP="00F368DF">
      <w:pPr>
        <w:snapToGrid w:val="0"/>
        <w:spacing w:before="200" w:after="200"/>
        <w:rPr>
          <w:sz w:val="24"/>
          <w:szCs w:val="24"/>
        </w:rPr>
      </w:pPr>
      <w:r>
        <w:rPr>
          <w:sz w:val="24"/>
          <w:szCs w:val="24"/>
        </w:rPr>
        <w:t xml:space="preserve">Вычитая из числителя знаменатель </w:t>
      </w:r>
      <w:r>
        <w:rPr>
          <w:position w:val="-12"/>
          <w:sz w:val="24"/>
          <w:szCs w:val="24"/>
        </w:rPr>
        <w:object w:dxaOrig="1935" w:dyaOrig="390">
          <v:shape id="_x0000_i1036" type="#_x0000_t75" style="width:96.75pt;height:19.5pt" o:ole="" fillcolor="window">
            <v:imagedata r:id="rId28" o:title=""/>
          </v:shape>
          <o:OLEObject Type="Embed" ProgID="Equation.3" ShapeID="_x0000_i1036" DrawAspect="Content" ObjectID="_1650907108" r:id="rId29"/>
        </w:object>
      </w:r>
      <w:r>
        <w:rPr>
          <w:sz w:val="24"/>
          <w:szCs w:val="24"/>
        </w:rPr>
        <w:t xml:space="preserve">= 1530 – 2180 = –650, определяем, что в абсолютном выражении за счет уменьшения выпуска стоимость продукции в отчетном периоде уменьшилась на 650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</w:p>
    <w:p w:rsidR="00F368DF" w:rsidRDefault="00F368DF" w:rsidP="00F368DF">
      <w:pPr>
        <w:snapToGrid w:val="0"/>
        <w:spacing w:before="200" w:after="200"/>
        <w:rPr>
          <w:sz w:val="24"/>
          <w:szCs w:val="24"/>
        </w:rPr>
      </w:pPr>
    </w:p>
    <w:p w:rsidR="00F368DF" w:rsidRDefault="00F368DF" w:rsidP="00F368DF">
      <w:pPr>
        <w:shd w:val="clear" w:color="auto" w:fill="92D050"/>
        <w:spacing w:before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Общие индексы качественных показателей</w:t>
      </w:r>
    </w:p>
    <w:p w:rsidR="00F368DF" w:rsidRDefault="00F368DF" w:rsidP="00F368DF">
      <w:pPr>
        <w:spacing w:before="200"/>
        <w:rPr>
          <w:sz w:val="24"/>
          <w:szCs w:val="24"/>
        </w:rPr>
      </w:pPr>
      <w:r>
        <w:rPr>
          <w:b/>
          <w:sz w:val="24"/>
          <w:szCs w:val="24"/>
        </w:rPr>
        <w:t>Индексы цен</w:t>
      </w:r>
      <w:r>
        <w:rPr>
          <w:sz w:val="24"/>
          <w:szCs w:val="24"/>
        </w:rPr>
        <w:t xml:space="preserve"> показывают, как изменилась стоимость продукции за счет изменения цен.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Агрегатный </w:t>
      </w:r>
      <w:r>
        <w:rPr>
          <w:i/>
          <w:iCs/>
          <w:sz w:val="24"/>
          <w:szCs w:val="24"/>
        </w:rPr>
        <w:t xml:space="preserve">индекс цен </w:t>
      </w:r>
      <w:proofErr w:type="spellStart"/>
      <w:r>
        <w:rPr>
          <w:i/>
          <w:iCs/>
          <w:sz w:val="24"/>
          <w:szCs w:val="24"/>
        </w:rPr>
        <w:t>Пааше</w:t>
      </w:r>
      <w:proofErr w:type="spellEnd"/>
      <w:r>
        <w:rPr>
          <w:sz w:val="24"/>
          <w:szCs w:val="24"/>
        </w:rPr>
        <w:t>: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34"/>
          <w:sz w:val="24"/>
          <w:szCs w:val="24"/>
          <w:shd w:val="clear" w:color="auto" w:fill="92D050"/>
        </w:rPr>
        <w:object w:dxaOrig="1575" w:dyaOrig="795">
          <v:shape id="_x0000_i1037" type="#_x0000_t75" style="width:78.75pt;height:39.75pt" o:ole="" fillcolor="window">
            <v:imagedata r:id="rId30" o:title=""/>
          </v:shape>
          <o:OLEObject Type="Embed" ProgID="Equation.3" ShapeID="_x0000_i1037" DrawAspect="Content" ObjectID="_1650907109" r:id="rId31"/>
        </w:object>
      </w:r>
      <w:r>
        <w:rPr>
          <w:sz w:val="24"/>
          <w:szCs w:val="24"/>
          <w:shd w:val="clear" w:color="auto" w:fill="92D050"/>
          <w:lang w:val="ru-RU"/>
        </w:rPr>
        <w:t>,</w:t>
      </w:r>
      <w:r>
        <w:rPr>
          <w:sz w:val="24"/>
          <w:szCs w:val="24"/>
          <w:shd w:val="clear" w:color="auto" w:fill="92D050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8)</w:t>
      </w:r>
    </w:p>
    <w:p w:rsidR="00F368DF" w:rsidRDefault="00F368DF" w:rsidP="00F368DF">
      <w:pPr>
        <w:snapToGrid w:val="0"/>
        <w:ind w:firstLine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где 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i/>
          <w:iCs/>
          <w:sz w:val="24"/>
          <w:szCs w:val="24"/>
          <w:lang w:val="en-US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– фактическая стоимость продаж (товарооборот) в отчетном периоде;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0</w:t>
      </w:r>
      <w:r>
        <w:rPr>
          <w:i/>
          <w:iCs/>
          <w:sz w:val="24"/>
          <w:szCs w:val="24"/>
          <w:lang w:val="en-US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– условная стоимость товаров, реализованных в отчетном периоде по базисным ценам.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Индекс цен </w:t>
      </w:r>
      <w:proofErr w:type="spellStart"/>
      <w:r>
        <w:rPr>
          <w:sz w:val="24"/>
          <w:szCs w:val="24"/>
        </w:rPr>
        <w:t>Пааше</w:t>
      </w:r>
      <w:proofErr w:type="spellEnd"/>
      <w:r>
        <w:rPr>
          <w:sz w:val="24"/>
          <w:szCs w:val="24"/>
        </w:rPr>
        <w:t xml:space="preserve"> показывает изменение цен отчетного периода по сравнению с базисным (на сколько товары стали дороже (дешевле)). Если бы товары были реализованы в отчетном периоде по базисным ценам, то фактическая экономия составила</w:t>
      </w:r>
    </w:p>
    <w:p w:rsidR="00F368DF" w:rsidRDefault="00F368DF" w:rsidP="00F368DF">
      <w:pPr>
        <w:pStyle w:val="a9"/>
        <w:rPr>
          <w:bCs/>
          <w:sz w:val="24"/>
          <w:szCs w:val="24"/>
          <w:lang w:val="ru-RU"/>
        </w:rPr>
      </w:pPr>
      <w:r>
        <w:rPr>
          <w:position w:val="-16"/>
          <w:sz w:val="24"/>
          <w:szCs w:val="24"/>
          <w:shd w:val="clear" w:color="auto" w:fill="92D050"/>
        </w:rPr>
        <w:object w:dxaOrig="3060" w:dyaOrig="480">
          <v:shape id="_x0000_i1038" type="#_x0000_t75" style="width:153pt;height:24pt" o:ole="" fillcolor="window">
            <v:imagedata r:id="rId32" o:title=""/>
          </v:shape>
          <o:OLEObject Type="Embed" ProgID="Equation.3" ShapeID="_x0000_i1038" DrawAspect="Content" ObjectID="_1650907110" r:id="rId33"/>
        </w:object>
      </w:r>
      <w:r>
        <w:rPr>
          <w:sz w:val="24"/>
          <w:szCs w:val="24"/>
          <w:shd w:val="clear" w:color="auto" w:fill="92D050"/>
          <w:lang w:val="ru-RU"/>
        </w:rPr>
        <w:t>.</w:t>
      </w:r>
      <w:r>
        <w:rPr>
          <w:sz w:val="24"/>
          <w:szCs w:val="24"/>
          <w:shd w:val="clear" w:color="auto" w:fill="92D050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10)</w:t>
      </w:r>
    </w:p>
    <w:p w:rsidR="00F368DF" w:rsidRDefault="00F368DF" w:rsidP="00F368DF">
      <w:pPr>
        <w:snapToGrid w:val="0"/>
      </w:pP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b/>
          <w:sz w:val="24"/>
          <w:szCs w:val="24"/>
        </w:rPr>
        <w:t>Пример</w:t>
      </w:r>
      <w:r>
        <w:rPr>
          <w:b/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По</w:t>
      </w:r>
      <w:proofErr w:type="gramEnd"/>
      <w:r>
        <w:rPr>
          <w:bCs/>
          <w:sz w:val="24"/>
          <w:szCs w:val="24"/>
        </w:rPr>
        <w:t xml:space="preserve"> и</w:t>
      </w:r>
      <w:r>
        <w:rPr>
          <w:sz w:val="24"/>
          <w:szCs w:val="24"/>
        </w:rPr>
        <w:t>меющимся данным о ценах и реализации неоднородных товаров за два периода необходимо определить индексы цен: 1) индивидуальные; 2) агрегатные цен</w:t>
      </w:r>
    </w:p>
    <w:tbl>
      <w:tblPr>
        <w:tblW w:w="9975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30"/>
        <w:gridCol w:w="1486"/>
        <w:gridCol w:w="1924"/>
        <w:gridCol w:w="1782"/>
        <w:gridCol w:w="2171"/>
        <w:gridCol w:w="1782"/>
      </w:tblGrid>
      <w:tr w:rsidR="00F368DF" w:rsidTr="00F368DF">
        <w:trPr>
          <w:cantSplit/>
          <w:trHeight w:val="397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Базисный период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Отчетный период</w:t>
            </w:r>
          </w:p>
        </w:tc>
      </w:tr>
      <w:tr w:rsidR="00F368DF" w:rsidTr="00F368DF">
        <w:trPr>
          <w:cantSplit/>
          <w:trHeight w:val="397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Цена за единицу продукции, руб.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Продано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Цена за единицу продукции, руб.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Продано 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</w:tr>
      <w:tr w:rsidR="00F368DF" w:rsidTr="00F368DF">
        <w:trPr>
          <w:cantSplit/>
          <w:trHeight w:val="70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val="en-US" w:eastAsia="en-US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val="en-US" w:eastAsia="en-US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val="en-US" w:eastAsia="en-US"/>
              </w:rPr>
              <w:t>1</w:t>
            </w:r>
          </w:p>
        </w:tc>
      </w:tr>
      <w:tr w:rsidR="00F368DF" w:rsidTr="00F368DF">
        <w:trPr>
          <w:trHeight w:val="23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9500</w:t>
            </w:r>
          </w:p>
        </w:tc>
      </w:tr>
      <w:tr w:rsidR="00F368DF" w:rsidTr="00F368DF">
        <w:trPr>
          <w:trHeight w:val="119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2500</w:t>
            </w:r>
          </w:p>
        </w:tc>
      </w:tr>
      <w:tr w:rsidR="00F368DF" w:rsidTr="00F368DF">
        <w:trPr>
          <w:trHeight w:val="18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1500</w:t>
            </w:r>
          </w:p>
        </w:tc>
      </w:tr>
    </w:tbl>
    <w:p w:rsidR="00F368DF" w:rsidRDefault="00F368DF" w:rsidP="00F368DF">
      <w:pPr>
        <w:snapToGrid w:val="0"/>
        <w:spacing w:before="200" w:after="200"/>
        <w:ind w:firstLine="850"/>
        <w:rPr>
          <w:sz w:val="24"/>
          <w:szCs w:val="24"/>
        </w:rPr>
      </w:pPr>
      <w:r>
        <w:rPr>
          <w:sz w:val="24"/>
          <w:szCs w:val="24"/>
        </w:rPr>
        <w:t>Сведем расчет индивидуальных индексов цен и промежуточные расчеты для определения агрегатных индексов цен в таблицу:</w:t>
      </w:r>
    </w:p>
    <w:tbl>
      <w:tblPr>
        <w:tblW w:w="9945" w:type="dxa"/>
        <w:tblInd w:w="-411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83"/>
        <w:gridCol w:w="2021"/>
        <w:gridCol w:w="2189"/>
        <w:gridCol w:w="2189"/>
        <w:gridCol w:w="2143"/>
        <w:gridCol w:w="20"/>
      </w:tblGrid>
      <w:tr w:rsidR="00F368DF" w:rsidTr="00F368DF">
        <w:trPr>
          <w:cantSplit/>
          <w:trHeight w:val="458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Индивидуальный индекс цен</w:t>
            </w:r>
          </w:p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position w:val="-34"/>
                <w:sz w:val="24"/>
                <w:szCs w:val="24"/>
                <w:lang w:eastAsia="en-US"/>
              </w:rPr>
              <w:object w:dxaOrig="915" w:dyaOrig="885">
                <v:shape id="_x0000_i1039" type="#_x0000_t75" style="width:45.75pt;height:44.25pt" o:ole="" fillcolor="window">
                  <v:imagedata r:id="rId34" o:title=""/>
                </v:shape>
                <o:OLEObject Type="Embed" ProgID="Equation.3" ShapeID="_x0000_i1039" DrawAspect="Content" ObjectID="_1650907111" r:id="rId35"/>
              </w:object>
            </w:r>
          </w:p>
        </w:tc>
        <w:tc>
          <w:tcPr>
            <w:tcW w:w="65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товаров, руб.</w:t>
            </w:r>
          </w:p>
        </w:tc>
      </w:tr>
      <w:tr w:rsidR="00F368DF" w:rsidTr="00F368DF">
        <w:trPr>
          <w:gridAfter w:val="1"/>
          <w:wAfter w:w="20" w:type="dxa"/>
          <w:cantSplit/>
          <w:trHeight w:val="91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базисных ценах</w:t>
            </w:r>
          </w:p>
          <w:p w:rsidR="00F368DF" w:rsidRDefault="00F368DF">
            <w:pPr>
              <w:pStyle w:val="ab"/>
              <w:spacing w:before="60"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</w:t>
            </w:r>
            <w:proofErr w:type="gramStart"/>
            <w:r>
              <w:rPr>
                <w:sz w:val="24"/>
                <w:szCs w:val="24"/>
                <w:lang w:eastAsia="en-US"/>
              </w:rPr>
              <w:t>сопоставимых  ценах</w:t>
            </w:r>
            <w:proofErr w:type="gramEnd"/>
          </w:p>
          <w:p w:rsidR="00F368DF" w:rsidRDefault="00F368DF">
            <w:pPr>
              <w:pStyle w:val="ab"/>
              <w:spacing w:before="60"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0</w:t>
            </w: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отчетных ценах</w:t>
            </w:r>
          </w:p>
          <w:p w:rsidR="00F368DF" w:rsidRDefault="00F368DF">
            <w:pPr>
              <w:pStyle w:val="ab"/>
              <w:spacing w:before="60"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val="en-US" w:eastAsia="en-US"/>
              </w:rPr>
              <w:t>p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  <w:r>
              <w:rPr>
                <w:i/>
                <w:iCs/>
                <w:sz w:val="24"/>
                <w:szCs w:val="24"/>
                <w:lang w:val="en-US" w:eastAsia="en-US"/>
              </w:rPr>
              <w:t>q</w:t>
            </w:r>
            <w:r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</w:tr>
      <w:tr w:rsidR="00F368DF" w:rsidTr="00F368DF">
        <w:trPr>
          <w:gridAfter w:val="1"/>
          <w:wAfter w:w="20" w:type="dxa"/>
          <w:trHeight w:val="290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1,250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190000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237500</w:t>
            </w:r>
          </w:p>
        </w:tc>
      </w:tr>
      <w:tr w:rsidR="00F368DF" w:rsidTr="00F368DF">
        <w:trPr>
          <w:gridAfter w:val="1"/>
          <w:wAfter w:w="20" w:type="dxa"/>
          <w:trHeight w:val="287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75000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75000</w:t>
            </w:r>
          </w:p>
        </w:tc>
      </w:tr>
      <w:tr w:rsidR="00F368DF" w:rsidTr="00F368DF">
        <w:trPr>
          <w:gridAfter w:val="1"/>
          <w:wAfter w:w="20" w:type="dxa"/>
          <w:trHeight w:val="107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0,667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22500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15000</w:t>
            </w:r>
          </w:p>
        </w:tc>
      </w:tr>
      <w:tr w:rsidR="00F368DF" w:rsidTr="00F368DF">
        <w:trPr>
          <w:gridAfter w:val="1"/>
          <w:wAfter w:w="20" w:type="dxa"/>
          <w:trHeight w:val="145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b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225000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287500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DF" w:rsidRDefault="00F368DF">
            <w:pPr>
              <w:pStyle w:val="ad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327500</w:t>
            </w:r>
          </w:p>
        </w:tc>
      </w:tr>
    </w:tbl>
    <w:p w:rsidR="00F368DF" w:rsidRDefault="00F368DF" w:rsidP="00F368DF">
      <w:pPr>
        <w:pStyle w:val="a4"/>
        <w:tabs>
          <w:tab w:val="left" w:pos="708"/>
        </w:tabs>
        <w:rPr>
          <w:sz w:val="24"/>
          <w:szCs w:val="24"/>
        </w:rPr>
      </w:pPr>
    </w:p>
    <w:p w:rsidR="00F368DF" w:rsidRDefault="00F368DF" w:rsidP="00F368DF">
      <w:pPr>
        <w:pStyle w:val="a4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а) Индекс цен </w:t>
      </w:r>
      <w:proofErr w:type="spellStart"/>
      <w:r>
        <w:rPr>
          <w:sz w:val="24"/>
          <w:szCs w:val="24"/>
        </w:rPr>
        <w:t>Пааше</w:t>
      </w:r>
      <w:proofErr w:type="spellEnd"/>
    </w:p>
    <w:p w:rsidR="00F368DF" w:rsidRDefault="00F368DF" w:rsidP="00F368DF">
      <w:pPr>
        <w:pStyle w:val="a9"/>
        <w:ind w:firstLine="2272"/>
        <w:rPr>
          <w:sz w:val="24"/>
          <w:szCs w:val="24"/>
        </w:rPr>
      </w:pPr>
      <w:r>
        <w:rPr>
          <w:position w:val="-34"/>
          <w:sz w:val="24"/>
          <w:szCs w:val="24"/>
        </w:rPr>
        <w:object w:dxaOrig="2745" w:dyaOrig="795">
          <v:shape id="_x0000_i1040" type="#_x0000_t75" style="width:137.25pt;height:39.75pt" o:ole="">
            <v:imagedata r:id="rId36" o:title=""/>
          </v:shape>
          <o:OLEObject Type="Embed" ProgID="Equation.3" ShapeID="_x0000_i1040" DrawAspect="Content" ObjectID="_1650907112" r:id="rId37"/>
        </w:object>
      </w:r>
      <w:r>
        <w:rPr>
          <w:sz w:val="24"/>
          <w:szCs w:val="24"/>
        </w:rPr>
        <w:t>= 1,1391 (113,91%).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Абсолютный прирост товарооборота за счет фактора изменения цен в текущем периоде по сравнению с базисным периодом составил</w:t>
      </w:r>
    </w:p>
    <w:p w:rsidR="00F368DF" w:rsidRDefault="00F368DF" w:rsidP="00F368DF">
      <w:pPr>
        <w:pStyle w:val="a9"/>
        <w:tabs>
          <w:tab w:val="left" w:pos="2130"/>
        </w:tabs>
        <w:ind w:firstLine="2272"/>
        <w:rPr>
          <w:sz w:val="24"/>
          <w:szCs w:val="24"/>
          <w:lang w:val="ru-RU"/>
        </w:rPr>
      </w:pPr>
      <w:r>
        <w:rPr>
          <w:position w:val="-12"/>
          <w:sz w:val="24"/>
          <w:szCs w:val="24"/>
        </w:rPr>
        <w:object w:dxaOrig="2115" w:dyaOrig="375">
          <v:shape id="_x0000_i1041" type="#_x0000_t75" style="width:105.75pt;height:18.75pt" o:ole="">
            <v:imagedata r:id="rId38" o:title=""/>
          </v:shape>
          <o:OLEObject Type="Embed" ProgID="Equation.3" ShapeID="_x0000_i1041" DrawAspect="Content" ObjectID="_1650907113" r:id="rId39"/>
        </w:object>
      </w:r>
      <w:r>
        <w:rPr>
          <w:sz w:val="24"/>
          <w:szCs w:val="24"/>
          <w:lang w:val="ru-RU"/>
        </w:rPr>
        <w:t xml:space="preserve"> = 327500 – 287500 = 40000 руб.,</w:t>
      </w:r>
    </w:p>
    <w:p w:rsidR="00F368DF" w:rsidRDefault="00F368DF" w:rsidP="00F368DF">
      <w:pPr>
        <w:snapToGrid w:val="0"/>
        <w:ind w:firstLine="0"/>
        <w:rPr>
          <w:sz w:val="24"/>
          <w:szCs w:val="24"/>
        </w:rPr>
      </w:pPr>
      <w:r>
        <w:rPr>
          <w:sz w:val="24"/>
          <w:szCs w:val="24"/>
        </w:rPr>
        <w:t>т.е. если бы уровень цен остался на уровне базисного периода, экономия потребителя составила бы 40000 руб.</w:t>
      </w:r>
    </w:p>
    <w:p w:rsidR="00F368DF" w:rsidRDefault="00F368DF" w:rsidP="00F368DF">
      <w:pPr>
        <w:snapToGrid w:val="0"/>
        <w:rPr>
          <w:b/>
          <w:sz w:val="24"/>
          <w:szCs w:val="24"/>
        </w:rPr>
      </w:pPr>
    </w:p>
    <w:p w:rsidR="00F368DF" w:rsidRDefault="00F368DF" w:rsidP="00F368DF">
      <w:pPr>
        <w:snapToGrid w:val="0"/>
        <w:rPr>
          <w:b/>
          <w:sz w:val="24"/>
          <w:szCs w:val="24"/>
        </w:rPr>
      </w:pPr>
      <w:r>
        <w:rPr>
          <w:b/>
          <w:sz w:val="24"/>
          <w:szCs w:val="24"/>
        </w:rPr>
        <w:t>Товарооборот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Сводный индекс товарооборота:</w:t>
      </w:r>
    </w:p>
    <w:p w:rsidR="00F368DF" w:rsidRDefault="00F368DF" w:rsidP="00F368DF">
      <w:pPr>
        <w:pStyle w:val="a9"/>
        <w:ind w:firstLine="2272"/>
        <w:rPr>
          <w:bCs/>
          <w:sz w:val="24"/>
          <w:szCs w:val="24"/>
          <w:lang w:val="ru-RU"/>
        </w:rPr>
      </w:pPr>
      <w:r>
        <w:rPr>
          <w:position w:val="-34"/>
          <w:sz w:val="24"/>
          <w:szCs w:val="24"/>
        </w:rPr>
        <w:object w:dxaOrig="4425" w:dyaOrig="780">
          <v:shape id="_x0000_i1042" type="#_x0000_t75" style="width:221.25pt;height:39pt" o:ole="" fillcolor="window">
            <v:imagedata r:id="rId40" o:title=""/>
          </v:shape>
          <o:OLEObject Type="Embed" ProgID="Equation.3" ShapeID="_x0000_i1042" DrawAspect="Content" ObjectID="_1650907114" r:id="rId41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13)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Построение моделей взаимосвязанных индексов возможно лишь для сопоставимого круга элементов, т.е. при неизменном ассортименте отдельных товаров в отчетном и базисном периодах.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>Абсолютное изменение товарооборота в отчетном периоде по сравнению с базисным одновременно за счет изменения физического объема продаж и изменения цен характеризует разница между числителем и знаменателем индекса, рассчитываемое по формуле (7.3):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12"/>
          <w:sz w:val="24"/>
          <w:szCs w:val="24"/>
        </w:rPr>
        <w:object w:dxaOrig="2760" w:dyaOrig="375">
          <v:shape id="_x0000_i1043" type="#_x0000_t75" style="width:138pt;height:18.75pt" o:ole="" fillcolor="window">
            <v:imagedata r:id="rId42" o:title=""/>
          </v:shape>
          <o:OLEObject Type="Embed" ProgID="Equation.3" ShapeID="_x0000_i1043" DrawAspect="Content" ObjectID="_1650907115" r:id="rId43"/>
        </w:object>
      </w:r>
      <w:r>
        <w:rPr>
          <w:sz w:val="24"/>
          <w:szCs w:val="24"/>
          <w:lang w:val="ru-RU"/>
        </w:rPr>
        <w:t>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Измерить изолированное влияние каждого из этих факторов можно через разность числителя и знаменателя соответствующих аналитических индексов. 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Разность числителя и знаменателя индекса физического объема (по формуле </w:t>
      </w:r>
      <w:proofErr w:type="spellStart"/>
      <w:r>
        <w:rPr>
          <w:sz w:val="24"/>
          <w:szCs w:val="24"/>
        </w:rPr>
        <w:t>Ласпейреса</w:t>
      </w:r>
      <w:proofErr w:type="spellEnd"/>
      <w:r>
        <w:rPr>
          <w:sz w:val="24"/>
          <w:szCs w:val="24"/>
        </w:rPr>
        <w:t>)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16"/>
          <w:sz w:val="24"/>
          <w:szCs w:val="24"/>
        </w:rPr>
        <w:object w:dxaOrig="2940" w:dyaOrig="420">
          <v:shape id="_x0000_i1044" type="#_x0000_t75" style="width:147pt;height:21pt" o:ole="">
            <v:imagedata r:id="rId44" o:title=""/>
          </v:shape>
          <o:OLEObject Type="Embed" ProgID="Equation.3" ShapeID="_x0000_i1044" DrawAspect="Content" ObjectID="_1650907116" r:id="rId45"/>
        </w:objec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14)</w:t>
      </w:r>
    </w:p>
    <w:p w:rsidR="00F368DF" w:rsidRDefault="00F368DF" w:rsidP="00F368DF">
      <w:pPr>
        <w:snapToGrid w:val="0"/>
        <w:ind w:firstLine="0"/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показывает </w:t>
      </w:r>
      <w:r>
        <w:rPr>
          <w:color w:val="0070C0"/>
          <w:sz w:val="24"/>
          <w:szCs w:val="24"/>
        </w:rPr>
        <w:t>изменение товарооборота за счет роста (сокращения) физического объема продаж.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Разность числителя и знаменателя индекса физического объема (по формуле </w:t>
      </w:r>
      <w:proofErr w:type="spellStart"/>
      <w:r>
        <w:rPr>
          <w:sz w:val="24"/>
          <w:szCs w:val="24"/>
        </w:rPr>
        <w:t>Пааше</w:t>
      </w:r>
      <w:proofErr w:type="spellEnd"/>
      <w:r>
        <w:rPr>
          <w:sz w:val="24"/>
          <w:szCs w:val="24"/>
        </w:rPr>
        <w:t>)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16"/>
          <w:sz w:val="24"/>
          <w:szCs w:val="24"/>
        </w:rPr>
        <w:object w:dxaOrig="2895" w:dyaOrig="420">
          <v:shape id="_x0000_i1045" type="#_x0000_t75" style="width:144.75pt;height:21pt" o:ole="">
            <v:imagedata r:id="rId46" o:title=""/>
          </v:shape>
          <o:OLEObject Type="Embed" ProgID="Equation.3" ShapeID="_x0000_i1045" DrawAspect="Content" ObjectID="_1650907117" r:id="rId47"/>
        </w:objec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(7.</w:t>
      </w:r>
      <w:r>
        <w:rPr>
          <w:bCs/>
          <w:sz w:val="24"/>
          <w:szCs w:val="24"/>
          <w:lang w:val="ru-RU"/>
        </w:rPr>
        <w:t>15)</w:t>
      </w:r>
    </w:p>
    <w:p w:rsidR="00F368DF" w:rsidRDefault="00F368DF" w:rsidP="00F368DF">
      <w:pPr>
        <w:snapToGrid w:val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показывает </w:t>
      </w:r>
      <w:r>
        <w:rPr>
          <w:color w:val="0070C0"/>
          <w:sz w:val="24"/>
          <w:szCs w:val="24"/>
        </w:rPr>
        <w:t>изменение товарооборота в результате роста (снижения) цен.</w:t>
      </w:r>
    </w:p>
    <w:p w:rsidR="00F368DF" w:rsidRDefault="00F368DF" w:rsidP="00F368DF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Абсолютное изменение за счет отдельных факторов в сумме дают общее абсолютное изменение результативного признака: </w:t>
      </w:r>
    </w:p>
    <w:p w:rsidR="00F368DF" w:rsidRDefault="00F368DF" w:rsidP="00F368DF">
      <w:pPr>
        <w:pStyle w:val="a9"/>
        <w:rPr>
          <w:sz w:val="24"/>
          <w:szCs w:val="24"/>
          <w:lang w:val="ru-RU"/>
        </w:rPr>
      </w:pPr>
      <w:r>
        <w:rPr>
          <w:position w:val="-16"/>
          <w:sz w:val="24"/>
          <w:szCs w:val="24"/>
        </w:rPr>
        <w:object w:dxaOrig="2280" w:dyaOrig="420">
          <v:shape id="_x0000_i1046" type="#_x0000_t75" style="width:114pt;height:21pt" o:ole="">
            <v:imagedata r:id="rId48" o:title=""/>
          </v:shape>
          <o:OLEObject Type="Embed" ProgID="Equation.3" ShapeID="_x0000_i1046" DrawAspect="Content" ObjectID="_1650907118" r:id="rId49"/>
        </w:objec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bCs/>
          <w:sz w:val="24"/>
          <w:szCs w:val="24"/>
          <w:lang w:val="ru-RU"/>
        </w:rPr>
        <w:tab/>
        <w:t>(7.16)</w:t>
      </w:r>
    </w:p>
    <w:p w:rsidR="00DC23B6" w:rsidRDefault="002C4B1D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12"/>
    <w:rsid w:val="002C4B1D"/>
    <w:rsid w:val="00370E38"/>
    <w:rsid w:val="00B21719"/>
    <w:rsid w:val="00D56A12"/>
    <w:rsid w:val="00D95A72"/>
    <w:rsid w:val="00F3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C5D5"/>
  <w15:chartTrackingRefBased/>
  <w15:docId w15:val="{51634ADC-3B50-4B08-A8D5-B7F09A1F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68DF"/>
    <w:rPr>
      <w:color w:val="1188DD"/>
      <w:u w:val="single"/>
    </w:rPr>
  </w:style>
  <w:style w:type="paragraph" w:styleId="a4">
    <w:name w:val="footer"/>
    <w:basedOn w:val="a"/>
    <w:link w:val="a5"/>
    <w:uiPriority w:val="99"/>
    <w:semiHidden/>
    <w:unhideWhenUsed/>
    <w:rsid w:val="00F368DF"/>
    <w:pPr>
      <w:tabs>
        <w:tab w:val="center" w:pos="4677"/>
        <w:tab w:val="right" w:pos="9355"/>
      </w:tabs>
      <w:snapToGrid w:val="0"/>
      <w:ind w:firstLine="851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368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F368DF"/>
    <w:pPr>
      <w:ind w:firstLine="0"/>
    </w:pPr>
  </w:style>
  <w:style w:type="character" w:customStyle="1" w:styleId="a7">
    <w:name w:val="Основной текст Знак"/>
    <w:basedOn w:val="a0"/>
    <w:link w:val="a6"/>
    <w:semiHidden/>
    <w:rsid w:val="00F368D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Формула Знак"/>
    <w:link w:val="a9"/>
    <w:locked/>
    <w:rsid w:val="00F368D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9">
    <w:name w:val="Формула"/>
    <w:basedOn w:val="a"/>
    <w:next w:val="a"/>
    <w:link w:val="a8"/>
    <w:rsid w:val="00F368DF"/>
    <w:pPr>
      <w:spacing w:before="160" w:after="160"/>
      <w:ind w:firstLine="2268"/>
    </w:pPr>
    <w:rPr>
      <w:lang w:val="en-US"/>
    </w:rPr>
  </w:style>
  <w:style w:type="paragraph" w:customStyle="1" w:styleId="aa">
    <w:name w:val="Таблицы Заголовок"/>
    <w:basedOn w:val="a"/>
    <w:next w:val="a"/>
    <w:rsid w:val="00F368DF"/>
    <w:pPr>
      <w:keepNext/>
      <w:suppressAutoHyphens/>
      <w:snapToGrid w:val="0"/>
      <w:spacing w:before="200" w:after="120"/>
      <w:ind w:left="2665" w:right="567" w:hanging="1814"/>
      <w:jc w:val="left"/>
    </w:pPr>
    <w:rPr>
      <w:bCs/>
      <w:spacing w:val="20"/>
    </w:rPr>
  </w:style>
  <w:style w:type="paragraph" w:customStyle="1" w:styleId="ab">
    <w:name w:val="Таблицы Шапка"/>
    <w:basedOn w:val="a"/>
    <w:next w:val="a"/>
    <w:rsid w:val="00F368DF"/>
    <w:pPr>
      <w:snapToGrid w:val="0"/>
      <w:ind w:firstLine="0"/>
      <w:jc w:val="center"/>
    </w:pPr>
  </w:style>
  <w:style w:type="paragraph" w:customStyle="1" w:styleId="ac">
    <w:name w:val="Таблицы Боковик"/>
    <w:basedOn w:val="a"/>
    <w:next w:val="a"/>
    <w:rsid w:val="00F368DF"/>
    <w:pPr>
      <w:snapToGrid w:val="0"/>
      <w:ind w:left="113" w:firstLine="0"/>
      <w:jc w:val="left"/>
    </w:pPr>
  </w:style>
  <w:style w:type="paragraph" w:customStyle="1" w:styleId="ad">
    <w:name w:val="Таблицы Цифры"/>
    <w:basedOn w:val="a"/>
    <w:next w:val="a"/>
    <w:rsid w:val="00F368DF"/>
    <w:pPr>
      <w:snapToGrid w:val="0"/>
      <w:ind w:right="170" w:firstLine="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50" Type="http://schemas.openxmlformats.org/officeDocument/2006/relationships/fontTable" Target="fontTable.xml"/><Relationship Id="rId7" Type="http://schemas.openxmlformats.org/officeDocument/2006/relationships/hyperlink" Target="https://www.book.ru/book/927872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2" Type="http://schemas.openxmlformats.org/officeDocument/2006/relationships/settings" Target="setting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hyperlink" Target="http://www.book.ru:3333/book/927064" TargetMode="Externa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" Type="http://schemas.openxmlformats.org/officeDocument/2006/relationships/hyperlink" Target="http://www.book.ru:3333/book/929754" TargetMode="Externa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8.wmf"/><Relationship Id="rId4" Type="http://schemas.openxmlformats.org/officeDocument/2006/relationships/hyperlink" Target="http://www.book.ru:3333/book/927875" TargetMode="Externa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1321</Words>
  <Characters>7534</Characters>
  <Application>Microsoft Office Word</Application>
  <DocSecurity>0</DocSecurity>
  <Lines>62</Lines>
  <Paragraphs>17</Paragraphs>
  <ScaleCrop>false</ScaleCrop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2020-05-13T16:30:00Z</dcterms:created>
  <dcterms:modified xsi:type="dcterms:W3CDTF">2020-05-13T16:31:00Z</dcterms:modified>
</cp:coreProperties>
</file>